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p>
    <w:p>
      <w:pPr>
        <w:spacing w:line="580" w:lineRule="exact"/>
        <w:jc w:val="center"/>
        <w:rPr>
          <w:rFonts w:hint="eastAsia" w:ascii="仿宋" w:hAnsi="仿宋" w:eastAsia="仿宋"/>
          <w:sz w:val="32"/>
          <w:szCs w:val="32"/>
        </w:rPr>
      </w:pPr>
      <w:bookmarkStart w:id="1" w:name="_GoBack"/>
      <w:bookmarkEnd w:id="1"/>
    </w:p>
    <w:p>
      <w:pPr>
        <w:spacing w:line="580" w:lineRule="exact"/>
        <w:jc w:val="center"/>
        <w:rPr>
          <w:rFonts w:ascii="仿宋" w:hAnsi="仿宋" w:eastAsia="仿宋"/>
          <w:sz w:val="32"/>
          <w:szCs w:val="32"/>
        </w:rPr>
      </w:pPr>
      <w:r>
        <w:rPr>
          <w:rFonts w:hint="eastAsia" w:ascii="仿宋" w:hAnsi="仿宋" w:eastAsia="仿宋"/>
          <w:sz w:val="32"/>
          <w:szCs w:val="32"/>
        </w:rPr>
        <w:t>北经院〔2018</w:t>
      </w:r>
      <w:r>
        <w:rPr>
          <w:rFonts w:ascii="仿宋" w:hAnsi="仿宋" w:eastAsia="仿宋"/>
          <w:sz w:val="32"/>
          <w:szCs w:val="32"/>
        </w:rPr>
        <w:t>〕</w:t>
      </w:r>
      <w:r>
        <w:rPr>
          <w:rFonts w:hint="eastAsia" w:ascii="仿宋" w:hAnsi="仿宋" w:eastAsia="仿宋"/>
          <w:sz w:val="32"/>
          <w:szCs w:val="32"/>
          <w:lang w:val="en-US" w:eastAsia="zh-CN"/>
        </w:rPr>
        <w:t>29</w:t>
      </w:r>
      <w:r>
        <w:rPr>
          <w:rFonts w:hint="eastAsia" w:ascii="仿宋" w:hAnsi="仿宋" w:eastAsia="仿宋"/>
          <w:sz w:val="32"/>
          <w:szCs w:val="32"/>
        </w:rPr>
        <w:t>号</w:t>
      </w:r>
    </w:p>
    <w:p>
      <w:pPr>
        <w:jc w:val="center"/>
        <w:rPr>
          <w:rFonts w:hint="eastAsia"/>
          <w:b/>
          <w:bCs/>
          <w:sz w:val="30"/>
          <w:szCs w:val="30"/>
        </w:rPr>
      </w:pPr>
    </w:p>
    <w:p>
      <w:pPr>
        <w:spacing w:line="560" w:lineRule="exact"/>
        <w:jc w:val="center"/>
        <w:rPr>
          <w:rFonts w:eastAsia="方正小标宋简体"/>
          <w:b/>
          <w:color w:val="000000"/>
          <w:kern w:val="0"/>
          <w:sz w:val="44"/>
          <w:szCs w:val="32"/>
        </w:rPr>
      </w:pPr>
    </w:p>
    <w:p>
      <w:pPr>
        <w:spacing w:line="560" w:lineRule="exact"/>
        <w:jc w:val="center"/>
        <w:rPr>
          <w:rFonts w:hint="eastAsia" w:eastAsia="方正小标宋简体"/>
          <w:b w:val="0"/>
          <w:bCs/>
          <w:color w:val="000000"/>
          <w:kern w:val="0"/>
          <w:sz w:val="44"/>
          <w:szCs w:val="32"/>
          <w:lang w:eastAsia="zh-CN"/>
        </w:rPr>
      </w:pPr>
      <w:r>
        <w:rPr>
          <w:rFonts w:eastAsia="方正小标宋简体"/>
          <w:b w:val="0"/>
          <w:bCs/>
          <w:color w:val="000000"/>
          <w:kern w:val="0"/>
          <w:sz w:val="44"/>
          <w:szCs w:val="32"/>
        </w:rPr>
        <w:t>关于印发</w:t>
      </w:r>
      <w:r>
        <w:rPr>
          <w:rFonts w:hint="eastAsia" w:eastAsia="方正小标宋简体"/>
          <w:b w:val="0"/>
          <w:bCs/>
          <w:color w:val="000000"/>
          <w:kern w:val="0"/>
          <w:sz w:val="44"/>
          <w:szCs w:val="32"/>
          <w:lang w:eastAsia="zh-CN"/>
        </w:rPr>
        <w:t>北京经济技术职业学院</w:t>
      </w:r>
    </w:p>
    <w:p>
      <w:pPr>
        <w:jc w:val="center"/>
        <w:rPr>
          <w:rFonts w:eastAsia="方正小标宋简体"/>
          <w:b w:val="0"/>
          <w:bCs/>
          <w:color w:val="000000"/>
          <w:kern w:val="0"/>
          <w:sz w:val="44"/>
          <w:szCs w:val="32"/>
        </w:rPr>
      </w:pPr>
      <w:r>
        <w:rPr>
          <w:rFonts w:hint="eastAsia" w:ascii="黑体" w:hAnsi="Adobe 仿宋 Std R" w:eastAsia="黑体" w:cs="Times New Roman"/>
          <w:b w:val="0"/>
          <w:bCs/>
          <w:sz w:val="44"/>
          <w:szCs w:val="44"/>
        </w:rPr>
        <w:t>纵向科研项目管理办法</w:t>
      </w:r>
      <w:r>
        <w:rPr>
          <w:rFonts w:hint="eastAsia" w:ascii="黑体" w:hAnsi="Adobe 仿宋 Std R" w:eastAsia="黑体" w:cs="Times New Roman"/>
          <w:b w:val="0"/>
          <w:bCs/>
          <w:sz w:val="44"/>
          <w:szCs w:val="44"/>
          <w:lang w:eastAsia="zh-CN"/>
        </w:rPr>
        <w:t>（试行）</w:t>
      </w:r>
      <w:r>
        <w:rPr>
          <w:rFonts w:eastAsia="方正小标宋简体"/>
          <w:b w:val="0"/>
          <w:bCs/>
          <w:color w:val="000000"/>
          <w:kern w:val="0"/>
          <w:sz w:val="44"/>
          <w:szCs w:val="32"/>
        </w:rPr>
        <w:t>的通知</w:t>
      </w:r>
    </w:p>
    <w:p>
      <w:pPr>
        <w:spacing w:before="156" w:beforeLines="50" w:line="560" w:lineRule="exact"/>
        <w:rPr>
          <w:rFonts w:hint="eastAsia" w:ascii="宋体" w:hAnsi="宋体" w:eastAsia="宋体" w:cs="宋体"/>
          <w:color w:val="000000"/>
          <w:sz w:val="32"/>
          <w:szCs w:val="32"/>
        </w:rPr>
      </w:pPr>
    </w:p>
    <w:p>
      <w:pPr>
        <w:spacing w:before="156" w:beforeLines="50" w:line="560" w:lineRule="exact"/>
        <w:rPr>
          <w:rFonts w:hint="eastAsia" w:ascii="宋体" w:hAnsi="宋体" w:eastAsia="宋体" w:cs="宋体"/>
          <w:color w:val="000000"/>
          <w:sz w:val="32"/>
          <w:szCs w:val="32"/>
        </w:rPr>
      </w:pPr>
      <w:r>
        <w:rPr>
          <w:rFonts w:hint="eastAsia" w:ascii="宋体" w:hAnsi="宋体" w:eastAsia="宋体" w:cs="宋体"/>
          <w:color w:val="000000"/>
          <w:sz w:val="32"/>
          <w:szCs w:val="32"/>
        </w:rPr>
        <w:t>各</w:t>
      </w:r>
      <w:r>
        <w:rPr>
          <w:rFonts w:hint="eastAsia" w:ascii="宋体" w:hAnsi="宋体" w:eastAsia="宋体" w:cs="宋体"/>
          <w:color w:val="000000"/>
          <w:sz w:val="32"/>
          <w:szCs w:val="32"/>
          <w:lang w:eastAsia="zh-CN"/>
        </w:rPr>
        <w:t>相关处室、</w:t>
      </w:r>
      <w:r>
        <w:rPr>
          <w:rFonts w:hint="eastAsia" w:ascii="宋体" w:hAnsi="宋体" w:eastAsia="宋体" w:cs="宋体"/>
          <w:color w:val="000000"/>
          <w:sz w:val="32"/>
          <w:szCs w:val="32"/>
        </w:rPr>
        <w:t>二级学院：</w:t>
      </w:r>
    </w:p>
    <w:p>
      <w:pPr>
        <w:spacing w:before="156" w:beforeLines="50" w:line="560" w:lineRule="exact"/>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现将</w:t>
      </w:r>
      <w:r>
        <w:rPr>
          <w:rFonts w:hint="eastAsia" w:ascii="宋体" w:hAnsi="宋体" w:eastAsia="宋体" w:cs="宋体"/>
          <w:color w:val="000000"/>
          <w:sz w:val="32"/>
          <w:szCs w:val="32"/>
          <w:lang w:eastAsia="zh-CN"/>
        </w:rPr>
        <w:t>学院</w:t>
      </w:r>
      <w:r>
        <w:rPr>
          <w:rFonts w:hint="eastAsia" w:ascii="宋体" w:hAnsi="宋体" w:eastAsia="宋体" w:cs="宋体"/>
          <w:sz w:val="32"/>
          <w:szCs w:val="32"/>
          <w:lang w:eastAsia="zh-CN"/>
        </w:rPr>
        <w:t>纵向科研项目管理办法</w:t>
      </w:r>
      <w:r>
        <w:rPr>
          <w:rFonts w:hint="eastAsia" w:ascii="宋体" w:hAnsi="宋体" w:eastAsia="宋体" w:cs="宋体"/>
          <w:sz w:val="32"/>
          <w:szCs w:val="32"/>
        </w:rPr>
        <w:t>（试行）</w:t>
      </w:r>
      <w:r>
        <w:rPr>
          <w:rFonts w:hint="eastAsia" w:ascii="宋体" w:hAnsi="宋体" w:eastAsia="宋体" w:cs="宋体"/>
          <w:color w:val="000000"/>
          <w:sz w:val="32"/>
          <w:szCs w:val="32"/>
        </w:rPr>
        <w:t>印发给你们，请结合</w:t>
      </w:r>
      <w:r>
        <w:rPr>
          <w:rFonts w:hint="eastAsia" w:ascii="宋体" w:hAnsi="宋体" w:eastAsia="宋体" w:cs="宋体"/>
          <w:color w:val="000000"/>
          <w:sz w:val="32"/>
          <w:szCs w:val="32"/>
          <w:lang w:eastAsia="zh-CN"/>
        </w:rPr>
        <w:t>工作</w:t>
      </w:r>
      <w:r>
        <w:rPr>
          <w:rFonts w:hint="eastAsia" w:ascii="宋体" w:hAnsi="宋体" w:eastAsia="宋体" w:cs="宋体"/>
          <w:color w:val="000000"/>
          <w:sz w:val="32"/>
          <w:szCs w:val="32"/>
        </w:rPr>
        <w:t>实际，认真落实，</w:t>
      </w:r>
      <w:r>
        <w:rPr>
          <w:rFonts w:hint="eastAsia" w:ascii="宋体" w:hAnsi="宋体" w:eastAsia="宋体" w:cs="宋体"/>
          <w:color w:val="000000"/>
          <w:sz w:val="32"/>
          <w:szCs w:val="32"/>
          <w:lang w:eastAsia="zh-CN"/>
        </w:rPr>
        <w:t>携手</w:t>
      </w:r>
      <w:r>
        <w:rPr>
          <w:rFonts w:hint="eastAsia" w:ascii="宋体" w:hAnsi="宋体" w:eastAsia="宋体" w:cs="宋体"/>
          <w:color w:val="000000"/>
          <w:sz w:val="32"/>
          <w:szCs w:val="32"/>
        </w:rPr>
        <w:t>做好</w:t>
      </w:r>
      <w:r>
        <w:rPr>
          <w:rFonts w:hint="eastAsia" w:ascii="宋体" w:hAnsi="宋体" w:eastAsia="宋体" w:cs="宋体"/>
          <w:color w:val="000000"/>
          <w:sz w:val="32"/>
          <w:szCs w:val="32"/>
          <w:lang w:eastAsia="zh-CN"/>
        </w:rPr>
        <w:t>我院</w:t>
      </w:r>
      <w:r>
        <w:rPr>
          <w:rFonts w:hint="eastAsia" w:ascii="宋体" w:hAnsi="宋体" w:eastAsia="宋体" w:cs="宋体"/>
          <w:sz w:val="32"/>
          <w:szCs w:val="32"/>
          <w:lang w:eastAsia="zh-CN"/>
        </w:rPr>
        <w:t>纵向科研项目相关</w:t>
      </w:r>
      <w:r>
        <w:rPr>
          <w:rFonts w:hint="eastAsia" w:ascii="宋体" w:hAnsi="宋体" w:eastAsia="宋体" w:cs="宋体"/>
          <w:color w:val="000000"/>
          <w:sz w:val="32"/>
          <w:szCs w:val="32"/>
        </w:rPr>
        <w:t>工作。</w:t>
      </w:r>
    </w:p>
    <w:p>
      <w:pPr>
        <w:spacing w:before="156" w:beforeLines="50" w:line="560" w:lineRule="exact"/>
        <w:ind w:firstLine="640" w:firstLineChars="200"/>
        <w:rPr>
          <w:rFonts w:hint="eastAsia" w:ascii="仿宋" w:hAnsi="仿宋" w:eastAsia="仿宋"/>
          <w:color w:val="000000"/>
          <w:sz w:val="32"/>
          <w:szCs w:val="32"/>
        </w:rPr>
      </w:pPr>
    </w:p>
    <w:p>
      <w:pPr>
        <w:spacing w:line="560" w:lineRule="exact"/>
        <w:jc w:val="right"/>
        <w:rPr>
          <w:rFonts w:eastAsia="仿宋"/>
          <w:color w:val="000000"/>
          <w:sz w:val="32"/>
          <w:szCs w:val="32"/>
        </w:rPr>
      </w:pPr>
    </w:p>
    <w:p>
      <w:pPr>
        <w:spacing w:line="560" w:lineRule="exact"/>
        <w:ind w:firstLine="4800" w:firstLineChars="1500"/>
        <w:jc w:val="both"/>
        <w:rPr>
          <w:rFonts w:ascii="仿宋" w:hAnsi="仿宋" w:eastAsia="仿宋"/>
          <w:color w:val="000000"/>
          <w:sz w:val="32"/>
          <w:szCs w:val="32"/>
        </w:rPr>
      </w:pPr>
      <w:r>
        <w:rPr>
          <w:rFonts w:hint="eastAsia" w:eastAsia="仿宋"/>
          <w:color w:val="000000"/>
          <w:sz w:val="32"/>
          <w:szCs w:val="32"/>
        </w:rPr>
        <w:t>北</w:t>
      </w:r>
      <w:r>
        <w:rPr>
          <w:rFonts w:ascii="仿宋" w:hAnsi="仿宋" w:eastAsia="仿宋"/>
          <w:color w:val="000000"/>
          <w:sz w:val="32"/>
          <w:szCs w:val="32"/>
        </w:rPr>
        <w:t>京</w:t>
      </w:r>
      <w:r>
        <w:rPr>
          <w:rFonts w:hint="eastAsia" w:ascii="仿宋" w:hAnsi="仿宋" w:eastAsia="仿宋"/>
          <w:color w:val="000000"/>
          <w:sz w:val="32"/>
          <w:szCs w:val="32"/>
        </w:rPr>
        <w:t>经济技术职业学院</w:t>
      </w:r>
    </w:p>
    <w:p>
      <w:pPr>
        <w:spacing w:line="560" w:lineRule="exact"/>
        <w:jc w:val="left"/>
        <w:rPr>
          <w:rFonts w:hint="eastAsia" w:ascii="仿宋" w:hAnsi="仿宋" w:eastAsia="仿宋"/>
          <w:color w:val="000000"/>
          <w:sz w:val="32"/>
          <w:szCs w:val="32"/>
        </w:rPr>
      </w:pPr>
      <w:r>
        <w:rPr>
          <w:rFonts w:eastAsia="仿宋"/>
          <w:color w:val="000000"/>
          <w:sz w:val="32"/>
          <w:szCs w:val="32"/>
        </w:rPr>
        <w:t>                    </w:t>
      </w:r>
      <w:r>
        <w:rPr>
          <w:rFonts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w:t>
      </w:r>
      <w:r>
        <w:rPr>
          <w:rFonts w:eastAsia="仿宋"/>
          <w:color w:val="000000"/>
          <w:sz w:val="32"/>
          <w:szCs w:val="32"/>
        </w:rPr>
        <w:t> </w:t>
      </w:r>
      <w:r>
        <w:rPr>
          <w:rFonts w:ascii="仿宋" w:hAnsi="仿宋" w:eastAsia="仿宋"/>
          <w:color w:val="000000"/>
          <w:sz w:val="32"/>
          <w:szCs w:val="32"/>
        </w:rPr>
        <w:t>2018年</w:t>
      </w:r>
      <w:r>
        <w:rPr>
          <w:rFonts w:hint="eastAsia" w:ascii="仿宋" w:hAnsi="仿宋" w:eastAsia="仿宋"/>
          <w:color w:val="000000"/>
          <w:sz w:val="32"/>
          <w:szCs w:val="32"/>
          <w:lang w:val="en-US" w:eastAsia="zh-CN"/>
        </w:rPr>
        <w:t>11</w:t>
      </w:r>
      <w:r>
        <w:rPr>
          <w:rFonts w:ascii="仿宋" w:hAnsi="仿宋" w:eastAsia="仿宋"/>
          <w:color w:val="000000"/>
          <w:sz w:val="32"/>
          <w:szCs w:val="32"/>
        </w:rPr>
        <w:t>月</w:t>
      </w:r>
      <w:r>
        <w:rPr>
          <w:rFonts w:hint="eastAsia" w:ascii="仿宋" w:hAnsi="仿宋" w:eastAsia="仿宋"/>
          <w:color w:val="000000"/>
          <w:sz w:val="32"/>
          <w:szCs w:val="32"/>
          <w:lang w:val="en-US" w:eastAsia="zh-CN"/>
        </w:rPr>
        <w:t>7</w:t>
      </w:r>
      <w:r>
        <w:rPr>
          <w:rFonts w:ascii="仿宋" w:hAnsi="仿宋" w:eastAsia="仿宋"/>
          <w:color w:val="000000"/>
          <w:sz w:val="32"/>
          <w:szCs w:val="32"/>
        </w:rPr>
        <w:t>日</w:t>
      </w:r>
    </w:p>
    <w:p>
      <w:pPr>
        <w:adjustRightInd w:val="0"/>
        <w:snapToGrid w:val="0"/>
        <w:spacing w:before="312" w:beforeLines="100" w:line="560" w:lineRule="exact"/>
        <w:rPr>
          <w:rFonts w:hint="eastAsia" w:ascii="宋体" w:hAnsi="宋体"/>
          <w:sz w:val="30"/>
          <w:szCs w:val="30"/>
        </w:rPr>
      </w:pPr>
      <w:r>
        <w:rPr>
          <w:rFonts w:hint="eastAsia" w:ascii="宋体" w:hAnsi="宋体"/>
          <w:sz w:val="30"/>
          <w:szCs w:val="30"/>
          <w:u w:val="single"/>
        </w:rPr>
        <w:t xml:space="preserve">                                                     </w:t>
      </w:r>
    </w:p>
    <w:p>
      <w:pPr>
        <w:spacing w:line="280" w:lineRule="atLeast"/>
        <w:jc w:val="left"/>
        <w:rPr>
          <w:rFonts w:hint="eastAsia" w:ascii="仿宋" w:hAnsi="仿宋" w:eastAsia="仿宋" w:cs="PMingLiU"/>
          <w:color w:val="000000"/>
          <w:spacing w:val="70"/>
          <w:kern w:val="0"/>
          <w:sz w:val="28"/>
          <w:szCs w:val="28"/>
          <w:lang w:val="zh-CN" w:bidi="zh-CN"/>
        </w:rPr>
      </w:pPr>
      <w:r>
        <w:rPr>
          <w:rFonts w:hint="eastAsia" w:ascii="仿宋_GB2312" w:eastAsia="仿宋_GB2312"/>
          <w:sz w:val="32"/>
          <w:szCs w:val="32"/>
          <w:u w:val="single"/>
        </w:rPr>
        <w:t xml:space="preserve"> 北京经济技术职业学院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2018年</w:t>
      </w:r>
      <w:r>
        <w:rPr>
          <w:rFonts w:hint="eastAsia" w:ascii="仿宋_GB2312" w:eastAsia="仿宋_GB2312"/>
          <w:sz w:val="32"/>
          <w:szCs w:val="32"/>
          <w:u w:val="single"/>
          <w:lang w:val="en-US" w:eastAsia="zh-CN"/>
        </w:rPr>
        <w:t>11</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7</w:t>
      </w:r>
      <w:r>
        <w:rPr>
          <w:rFonts w:hint="eastAsia" w:ascii="仿宋_GB2312" w:eastAsia="仿宋_GB2312"/>
          <w:sz w:val="32"/>
          <w:szCs w:val="32"/>
          <w:u w:val="single"/>
        </w:rPr>
        <w:t>日印发</w:t>
      </w:r>
      <w:bookmarkStart w:id="0" w:name="bookmark2"/>
    </w:p>
    <w:bookmarkEnd w:id="0"/>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北京经济技术职业学院</w:t>
      </w:r>
    </w:p>
    <w:p>
      <w:pPr>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rPr>
        <w:t>纵向科研项目管理办法</w:t>
      </w:r>
      <w:r>
        <w:rPr>
          <w:rFonts w:hint="eastAsia" w:ascii="仿宋_GB2312" w:hAnsi="仿宋_GB2312" w:eastAsia="仿宋_GB2312" w:cs="仿宋_GB2312"/>
          <w:b/>
          <w:bCs/>
          <w:sz w:val="44"/>
          <w:szCs w:val="44"/>
          <w:lang w:eastAsia="zh-CN"/>
        </w:rPr>
        <w:t>（试行）</w:t>
      </w:r>
    </w:p>
    <w:p>
      <w:pPr>
        <w:ind w:firstLine="3360" w:firstLineChars="1200"/>
      </w:pPr>
    </w:p>
    <w:p>
      <w:pPr>
        <w:spacing w:line="360" w:lineRule="auto"/>
        <w:ind w:firstLine="3373" w:firstLineChars="1400"/>
        <w:jc w:val="left"/>
        <w:rPr>
          <w:b/>
          <w:bCs/>
          <w:sz w:val="24"/>
          <w:szCs w:val="24"/>
        </w:rPr>
      </w:pPr>
      <w:r>
        <w:rPr>
          <w:rFonts w:hint="eastAsia"/>
          <w:b/>
          <w:bCs/>
          <w:sz w:val="24"/>
          <w:szCs w:val="24"/>
        </w:rPr>
        <w:t>第一章 总则</w:t>
      </w:r>
    </w:p>
    <w:p>
      <w:pPr>
        <w:spacing w:line="360" w:lineRule="auto"/>
        <w:ind w:firstLine="482" w:firstLineChars="200"/>
        <w:rPr>
          <w:sz w:val="24"/>
          <w:szCs w:val="24"/>
        </w:rPr>
      </w:pPr>
      <w:r>
        <w:rPr>
          <w:rFonts w:hint="eastAsia"/>
          <w:b/>
          <w:bCs/>
          <w:sz w:val="24"/>
          <w:szCs w:val="24"/>
        </w:rPr>
        <w:t>第一条</w:t>
      </w:r>
      <w:r>
        <w:rPr>
          <w:rFonts w:hint="eastAsia"/>
          <w:sz w:val="24"/>
          <w:szCs w:val="24"/>
        </w:rPr>
        <w:t>　为鼓励和支持我校教学科研人员争取纵向科学研究项目（以下简称“纵向科研项目”），规范项目管理，推动学术研究和学科建设，全面提升我校的科研竞争力，特制定本办法。</w:t>
      </w:r>
    </w:p>
    <w:p>
      <w:pPr>
        <w:spacing w:line="360" w:lineRule="auto"/>
        <w:ind w:firstLine="480"/>
        <w:rPr>
          <w:sz w:val="24"/>
          <w:szCs w:val="24"/>
        </w:rPr>
      </w:pPr>
      <w:r>
        <w:rPr>
          <w:rFonts w:hint="eastAsia"/>
          <w:b/>
          <w:bCs/>
          <w:sz w:val="24"/>
          <w:szCs w:val="24"/>
        </w:rPr>
        <w:t>第二条</w:t>
      </w:r>
      <w:r>
        <w:rPr>
          <w:rFonts w:hint="eastAsia"/>
          <w:sz w:val="24"/>
          <w:szCs w:val="24"/>
        </w:rPr>
        <w:t xml:space="preserve"> 纵向科研项目资金是指学校通过承担国家、地方各级政府部门的各类科技计划（含基金）所取得的项目资金。</w:t>
      </w:r>
    </w:p>
    <w:p>
      <w:pPr>
        <w:spacing w:line="360" w:lineRule="auto"/>
        <w:ind w:firstLine="480"/>
        <w:rPr>
          <w:sz w:val="24"/>
          <w:szCs w:val="24"/>
        </w:rPr>
      </w:pPr>
    </w:p>
    <w:p>
      <w:pPr>
        <w:spacing w:line="360" w:lineRule="auto"/>
        <w:ind w:firstLine="2821" w:firstLineChars="1171"/>
        <w:rPr>
          <w:b/>
          <w:bCs/>
          <w:sz w:val="24"/>
          <w:szCs w:val="24"/>
        </w:rPr>
      </w:pPr>
      <w:r>
        <w:rPr>
          <w:rFonts w:hint="eastAsia"/>
          <w:b/>
          <w:bCs/>
          <w:sz w:val="24"/>
          <w:szCs w:val="24"/>
        </w:rPr>
        <w:t>第二章 管理机构及职能</w:t>
      </w:r>
    </w:p>
    <w:p>
      <w:pPr>
        <w:spacing w:line="360" w:lineRule="auto"/>
        <w:ind w:firstLine="480"/>
        <w:rPr>
          <w:sz w:val="24"/>
          <w:szCs w:val="24"/>
        </w:rPr>
      </w:pPr>
      <w:r>
        <w:rPr>
          <w:rFonts w:hint="eastAsia"/>
          <w:b/>
          <w:bCs/>
          <w:sz w:val="24"/>
          <w:szCs w:val="24"/>
        </w:rPr>
        <w:t>第三条</w:t>
      </w:r>
      <w:r>
        <w:rPr>
          <w:rFonts w:hint="eastAsia"/>
          <w:sz w:val="24"/>
          <w:szCs w:val="24"/>
        </w:rPr>
        <w:t>　</w:t>
      </w:r>
      <w:r>
        <w:rPr>
          <w:rFonts w:hint="eastAsia" w:ascii="宋体" w:hAnsi="宋体" w:eastAsia="宋体" w:cs="宋体"/>
          <w:color w:val="000000"/>
          <w:sz w:val="24"/>
          <w:szCs w:val="24"/>
        </w:rPr>
        <w:t>学校对纵向科研项目实行“统一领导、分级管理、分工负责、协同合作”的管理体制。</w:t>
      </w:r>
      <w:r>
        <w:rPr>
          <w:rFonts w:hint="eastAsia"/>
          <w:sz w:val="24"/>
          <w:szCs w:val="24"/>
        </w:rPr>
        <w:t>教务处统一组织、指导和协调全校纵向科研项目的申报、中期检查、验收结项等工作，</w:t>
      </w:r>
      <w:r>
        <w:rPr>
          <w:rFonts w:hint="eastAsia" w:ascii="宋体" w:hAnsi="宋体" w:eastAsia="宋体" w:cs="宋体"/>
          <w:color w:val="000000"/>
          <w:sz w:val="24"/>
          <w:szCs w:val="24"/>
        </w:rPr>
        <w:t>并为项目的实施提供必要的科研条件支撑。</w:t>
      </w:r>
      <w:r>
        <w:rPr>
          <w:rFonts w:hint="eastAsia"/>
          <w:sz w:val="24"/>
          <w:szCs w:val="24"/>
        </w:rPr>
        <w:t>此外，协同财务处管理项目经费。</w:t>
      </w:r>
    </w:p>
    <w:p>
      <w:pPr>
        <w:spacing w:line="360" w:lineRule="auto"/>
        <w:ind w:firstLine="480"/>
        <w:rPr>
          <w:sz w:val="24"/>
          <w:szCs w:val="24"/>
        </w:rPr>
      </w:pPr>
      <w:r>
        <w:rPr>
          <w:rFonts w:hint="eastAsia"/>
          <w:b/>
          <w:bCs/>
          <w:sz w:val="24"/>
          <w:szCs w:val="24"/>
        </w:rPr>
        <w:t xml:space="preserve">第四条 </w:t>
      </w:r>
      <w:r>
        <w:rPr>
          <w:rFonts w:hint="eastAsia"/>
          <w:sz w:val="24"/>
          <w:szCs w:val="24"/>
        </w:rPr>
        <w:t xml:space="preserve"> </w:t>
      </w:r>
      <w:r>
        <w:rPr>
          <w:rFonts w:hint="eastAsia" w:ascii="宋体" w:hAnsi="宋体" w:eastAsia="宋体" w:cs="宋体"/>
          <w:color w:val="000000"/>
          <w:sz w:val="24"/>
          <w:szCs w:val="24"/>
        </w:rPr>
        <w:t>财务处负责纵向项目经费的财务管理工作，监督项目负责人按照项目预算及国家有关法律法规合理、规范使用项目经费。</w:t>
      </w:r>
      <w:r>
        <w:rPr>
          <w:rFonts w:hint="eastAsia"/>
          <w:sz w:val="24"/>
          <w:szCs w:val="24"/>
        </w:rPr>
        <w:t>经费实行集中核算，专款专用，任何单位和个人无权截留、挪用。</w:t>
      </w:r>
    </w:p>
    <w:p>
      <w:pPr>
        <w:spacing w:line="360" w:lineRule="auto"/>
        <w:ind w:firstLine="480"/>
        <w:rPr>
          <w:sz w:val="24"/>
          <w:szCs w:val="24"/>
        </w:rPr>
      </w:pPr>
      <w:r>
        <w:rPr>
          <w:rFonts w:hint="eastAsia"/>
          <w:b/>
          <w:bCs/>
          <w:sz w:val="24"/>
          <w:szCs w:val="24"/>
        </w:rPr>
        <w:t>第五条</w:t>
      </w:r>
      <w:r>
        <w:rPr>
          <w:rFonts w:hint="eastAsia"/>
          <w:sz w:val="24"/>
          <w:szCs w:val="24"/>
        </w:rPr>
        <w:t xml:space="preserve">  </w:t>
      </w:r>
      <w:r>
        <w:rPr>
          <w:rFonts w:hint="eastAsia"/>
          <w:color w:val="000000" w:themeColor="text1"/>
          <w:sz w:val="24"/>
          <w:szCs w:val="24"/>
          <w14:textFill>
            <w14:solidFill>
              <w14:schemeClr w14:val="tx1"/>
            </w14:solidFill>
          </w14:textFill>
        </w:rPr>
        <w:t>承担项目的</w:t>
      </w:r>
      <w:r>
        <w:rPr>
          <w:rFonts w:hint="eastAsia"/>
          <w:sz w:val="24"/>
          <w:szCs w:val="24"/>
        </w:rPr>
        <w:t>部门具体负责纵向科研项目的实施工作，按照本办法和教务处的部署，认真做好项目申报、中期检查、经费管理、验收结项、科研统计、成果推广等工作，为项目的实施提供支持和保障。</w:t>
      </w:r>
    </w:p>
    <w:p>
      <w:pPr>
        <w:spacing w:line="360" w:lineRule="auto"/>
        <w:ind w:firstLine="480"/>
        <w:jc w:val="center"/>
        <w:rPr>
          <w:b/>
          <w:bCs/>
          <w:sz w:val="24"/>
          <w:szCs w:val="24"/>
        </w:rPr>
      </w:pPr>
    </w:p>
    <w:p>
      <w:pPr>
        <w:spacing w:line="360" w:lineRule="auto"/>
        <w:ind w:firstLine="480"/>
        <w:jc w:val="center"/>
        <w:rPr>
          <w:sz w:val="24"/>
          <w:szCs w:val="24"/>
        </w:rPr>
      </w:pPr>
      <w:r>
        <w:rPr>
          <w:rFonts w:hint="eastAsia"/>
          <w:b/>
          <w:bCs/>
          <w:sz w:val="24"/>
          <w:szCs w:val="24"/>
        </w:rPr>
        <w:t>第三章  申报与立项</w:t>
      </w:r>
    </w:p>
    <w:p>
      <w:pPr>
        <w:spacing w:line="360" w:lineRule="auto"/>
        <w:ind w:firstLine="480"/>
        <w:rPr>
          <w:sz w:val="24"/>
          <w:szCs w:val="24"/>
        </w:rPr>
      </w:pPr>
      <w:r>
        <w:rPr>
          <w:rFonts w:hint="eastAsia"/>
          <w:b/>
          <w:bCs/>
          <w:sz w:val="24"/>
          <w:szCs w:val="24"/>
        </w:rPr>
        <w:t xml:space="preserve">第六条 </w:t>
      </w:r>
      <w:r>
        <w:rPr>
          <w:rFonts w:hint="eastAsia"/>
          <w:sz w:val="24"/>
          <w:szCs w:val="24"/>
        </w:rPr>
        <w:t xml:space="preserve"> 纵向科研项目的申报应面向学术前沿、国家战略和区域经济社会发展要求，结合自身优势特色，集成校内、校外优势资源，推荐基础好、水平高且符合相关规定要求的</w:t>
      </w:r>
      <w:r>
        <w:rPr>
          <w:rFonts w:hint="eastAsia"/>
          <w:color w:val="000000" w:themeColor="text1"/>
          <w:sz w:val="24"/>
          <w:szCs w:val="24"/>
          <w14:textFill>
            <w14:solidFill>
              <w14:schemeClr w14:val="tx1"/>
            </w14:solidFill>
          </w14:textFill>
        </w:rPr>
        <w:t>项目，申报</w:t>
      </w:r>
      <w:r>
        <w:rPr>
          <w:rFonts w:hint="eastAsia"/>
          <w:sz w:val="24"/>
          <w:szCs w:val="24"/>
        </w:rPr>
        <w:t>各级各类科研计划项目。要综合考虑申请人和研究团队科研项目执行能力，加强统筹协调。</w:t>
      </w:r>
    </w:p>
    <w:p>
      <w:pPr>
        <w:spacing w:line="360" w:lineRule="auto"/>
        <w:ind w:firstLine="480"/>
        <w:rPr>
          <w:rFonts w:ascii="宋体" w:hAnsi="宋体" w:eastAsia="宋体" w:cs="宋体"/>
          <w:color w:val="000000"/>
          <w:sz w:val="24"/>
          <w:szCs w:val="24"/>
        </w:rPr>
      </w:pPr>
      <w:r>
        <w:rPr>
          <w:rFonts w:hint="eastAsia"/>
          <w:b/>
          <w:bCs/>
          <w:sz w:val="24"/>
          <w:szCs w:val="24"/>
        </w:rPr>
        <w:t>第七条</w:t>
      </w:r>
      <w:r>
        <w:rPr>
          <w:rFonts w:hint="eastAsia"/>
          <w:sz w:val="24"/>
          <w:szCs w:val="24"/>
        </w:rPr>
        <w:t xml:space="preserve">  </w:t>
      </w:r>
      <w:r>
        <w:rPr>
          <w:rFonts w:hint="eastAsia" w:ascii="宋体" w:hAnsi="宋体" w:eastAsia="宋体" w:cs="宋体"/>
          <w:color w:val="000000"/>
          <w:sz w:val="24"/>
          <w:szCs w:val="24"/>
        </w:rPr>
        <w:t>教务处根据项目主管部门发布的项目申请通知、招标指南等信息，及时公开发布项目申请通知。各部门负责对申请项目进行初审，保证申请书内容的真实性，并组织专家对项目进行论证，提升项目的申报质量。</w:t>
      </w:r>
    </w:p>
    <w:p>
      <w:pPr>
        <w:spacing w:line="360" w:lineRule="auto"/>
        <w:ind w:firstLine="480"/>
        <w:rPr>
          <w:rFonts w:ascii="宋体" w:hAnsi="宋体" w:eastAsia="宋体" w:cs="宋体"/>
          <w:color w:val="000000"/>
          <w:sz w:val="24"/>
          <w:szCs w:val="24"/>
        </w:rPr>
      </w:pPr>
      <w:r>
        <w:rPr>
          <w:rFonts w:hint="eastAsia" w:ascii="宋体" w:hAnsi="宋体" w:eastAsia="宋体" w:cs="宋体"/>
          <w:b/>
          <w:bCs/>
          <w:color w:val="000000"/>
          <w:sz w:val="24"/>
          <w:szCs w:val="24"/>
        </w:rPr>
        <w:t>第八条</w:t>
      </w:r>
      <w:r>
        <w:rPr>
          <w:rFonts w:hint="eastAsia" w:ascii="宋体" w:hAnsi="宋体" w:eastAsia="宋体" w:cs="宋体"/>
          <w:color w:val="000000"/>
          <w:sz w:val="24"/>
          <w:szCs w:val="24"/>
        </w:rPr>
        <w:t xml:space="preserve">  对于自由申报类纵向项目，符合申报条件的我校教师和科研人员均可通过教务处进行申报；对于限额申报的纵向项目，严格执行申报条件，由学校组织学术委员会或学术委员会授权的校内外专家进行评审推荐，并在一定范围内进行公示。</w:t>
      </w:r>
    </w:p>
    <w:p>
      <w:pPr>
        <w:spacing w:line="360" w:lineRule="auto"/>
        <w:ind w:firstLine="480"/>
        <w:rPr>
          <w:rFonts w:ascii="宋体" w:hAnsi="宋体" w:eastAsia="宋体" w:cs="宋体"/>
          <w:color w:val="000000"/>
          <w:sz w:val="24"/>
          <w:szCs w:val="24"/>
        </w:rPr>
      </w:pPr>
      <w:r>
        <w:rPr>
          <w:rFonts w:hint="eastAsia" w:ascii="宋体" w:hAnsi="宋体" w:eastAsia="宋体" w:cs="宋体"/>
          <w:b/>
          <w:bCs/>
          <w:color w:val="000000"/>
          <w:sz w:val="24"/>
          <w:szCs w:val="24"/>
        </w:rPr>
        <w:t>第九条</w:t>
      </w:r>
      <w:r>
        <w:rPr>
          <w:rFonts w:hint="eastAsia" w:ascii="宋体" w:hAnsi="宋体" w:eastAsia="宋体" w:cs="宋体"/>
          <w:color w:val="000000"/>
          <w:sz w:val="24"/>
          <w:szCs w:val="24"/>
        </w:rPr>
        <w:t xml:space="preserve"> 纵向科研项目立项通知下达后，项目负责人应在规定时间内按照相关要求填写相应材料，无正当理由，逾期未交材料者视为自动放弃立项。教务处对非涉密项目立项结果予以公开。</w:t>
      </w:r>
    </w:p>
    <w:p>
      <w:pPr>
        <w:spacing w:line="360" w:lineRule="auto"/>
        <w:ind w:firstLine="480"/>
        <w:jc w:val="center"/>
        <w:rPr>
          <w:rFonts w:ascii="宋体" w:hAnsi="宋体" w:eastAsia="宋体" w:cs="宋体"/>
          <w:b/>
          <w:bCs/>
          <w:color w:val="000000"/>
          <w:sz w:val="24"/>
          <w:szCs w:val="24"/>
        </w:rPr>
      </w:pPr>
    </w:p>
    <w:p>
      <w:pPr>
        <w:spacing w:line="360" w:lineRule="auto"/>
        <w:ind w:firstLine="480"/>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第四章  项目过程管理</w:t>
      </w:r>
    </w:p>
    <w:p>
      <w:pPr>
        <w:spacing w:line="360" w:lineRule="auto"/>
        <w:ind w:firstLine="480"/>
        <w:rPr>
          <w:rFonts w:ascii="宋体" w:hAnsi="宋体" w:eastAsia="宋体" w:cs="宋体"/>
          <w:color w:val="000000"/>
          <w:sz w:val="24"/>
          <w:szCs w:val="24"/>
        </w:rPr>
      </w:pPr>
      <w:r>
        <w:rPr>
          <w:rFonts w:hint="eastAsia" w:ascii="宋体" w:hAnsi="宋体" w:eastAsia="宋体" w:cs="宋体"/>
          <w:b/>
          <w:bCs/>
          <w:color w:val="000000"/>
          <w:sz w:val="24"/>
          <w:szCs w:val="24"/>
        </w:rPr>
        <w:t>第十条</w:t>
      </w:r>
      <w:r>
        <w:rPr>
          <w:rFonts w:hint="eastAsia" w:ascii="宋体" w:hAnsi="宋体" w:eastAsia="宋体" w:cs="宋体"/>
          <w:color w:val="000000"/>
          <w:sz w:val="24"/>
          <w:szCs w:val="24"/>
        </w:rPr>
        <w:t xml:space="preserve">  纵向科研项目实行项目负责人负责制。项目负责人要强化责任意识，严格遵守科研项目管理的有关规定，接受相关方面的监督和检查。</w:t>
      </w:r>
    </w:p>
    <w:p>
      <w:pPr>
        <w:spacing w:line="360" w:lineRule="auto"/>
        <w:ind w:firstLine="480"/>
        <w:rPr>
          <w:rFonts w:ascii="宋体" w:hAnsi="宋体" w:eastAsia="宋体" w:cs="宋体"/>
          <w:color w:val="000000"/>
          <w:sz w:val="24"/>
          <w:szCs w:val="24"/>
        </w:rPr>
      </w:pPr>
      <w:r>
        <w:rPr>
          <w:rFonts w:hint="eastAsia" w:ascii="宋体" w:hAnsi="宋体" w:eastAsia="宋体" w:cs="宋体"/>
          <w:b/>
          <w:bCs/>
          <w:color w:val="000000"/>
          <w:sz w:val="24"/>
          <w:szCs w:val="24"/>
        </w:rPr>
        <w:t xml:space="preserve">第十一条 </w:t>
      </w:r>
      <w:r>
        <w:rPr>
          <w:rFonts w:hint="eastAsia" w:ascii="宋体" w:hAnsi="宋体" w:eastAsia="宋体" w:cs="宋体"/>
          <w:color w:val="000000"/>
          <w:sz w:val="24"/>
          <w:szCs w:val="24"/>
        </w:rPr>
        <w:t xml:space="preserve"> 纵向科研项目一经立项，其相关材料（如项目批文、计划书、任务书等）即具有法律或约束效力。项目组成员和项目合作单位应严格按照项目内容要求积极开展工作。</w:t>
      </w:r>
    </w:p>
    <w:p>
      <w:pPr>
        <w:spacing w:line="360" w:lineRule="auto"/>
        <w:ind w:firstLine="480"/>
        <w:rPr>
          <w:rFonts w:ascii="宋体" w:hAnsi="宋体" w:eastAsia="宋体" w:cs="宋体"/>
          <w:color w:val="000000"/>
          <w:sz w:val="24"/>
          <w:szCs w:val="24"/>
        </w:rPr>
      </w:pPr>
      <w:r>
        <w:rPr>
          <w:rFonts w:hint="eastAsia" w:ascii="宋体" w:hAnsi="宋体" w:eastAsia="宋体" w:cs="宋体"/>
          <w:b/>
          <w:bCs/>
          <w:color w:val="000000"/>
          <w:sz w:val="24"/>
          <w:szCs w:val="24"/>
        </w:rPr>
        <w:t>第十二条</w:t>
      </w:r>
      <w:r>
        <w:rPr>
          <w:rFonts w:hint="eastAsia" w:ascii="宋体" w:hAnsi="宋体" w:eastAsia="宋体" w:cs="宋体"/>
          <w:color w:val="000000"/>
          <w:sz w:val="24"/>
          <w:szCs w:val="24"/>
        </w:rPr>
        <w:t xml:space="preserve">  纵向科研项目实施过程中，涉及预定目标、研究内容有较大变动或因故需延期、中止的项目，须由项目负责人提出书面报告，经所在单位初审并签署意见，由学校审核后上报项目主管部门审批。</w:t>
      </w:r>
    </w:p>
    <w:p>
      <w:pPr>
        <w:spacing w:line="360" w:lineRule="auto"/>
        <w:ind w:firstLine="480"/>
        <w:rPr>
          <w:rFonts w:ascii="宋体" w:hAnsi="宋体" w:eastAsia="宋体" w:cs="宋体"/>
          <w:color w:val="000000"/>
          <w:sz w:val="24"/>
          <w:szCs w:val="24"/>
        </w:rPr>
      </w:pPr>
      <w:r>
        <w:rPr>
          <w:rFonts w:hint="eastAsia" w:ascii="宋体" w:hAnsi="宋体" w:eastAsia="宋体" w:cs="宋体"/>
          <w:b/>
          <w:bCs/>
          <w:color w:val="000000"/>
          <w:sz w:val="24"/>
          <w:szCs w:val="24"/>
        </w:rPr>
        <w:t xml:space="preserve">第十三条 </w:t>
      </w:r>
      <w:r>
        <w:rPr>
          <w:rFonts w:hint="eastAsia" w:ascii="宋体" w:hAnsi="宋体" w:eastAsia="宋体" w:cs="宋体"/>
          <w:color w:val="000000"/>
          <w:sz w:val="24"/>
          <w:szCs w:val="24"/>
        </w:rPr>
        <w:t>为保证纵向科研项目顺利实施，项目负责人一般不得变更。如因特殊情况需要变更的，由学校会同所在单位及课题组成员协商后，提出变更负责人意见，上报教务处批准后生效。若执行期间项目负责人调离学校，经教务处同意，可以将项目转至所在单位，但项目前期已经划拨我校的项目经费原则上不得转走。</w:t>
      </w:r>
    </w:p>
    <w:p>
      <w:pPr>
        <w:spacing w:line="360" w:lineRule="auto"/>
        <w:ind w:firstLine="480"/>
        <w:rPr>
          <w:rFonts w:ascii="宋体" w:hAnsi="宋体" w:eastAsia="宋体" w:cs="宋体"/>
          <w:color w:val="000000"/>
          <w:sz w:val="24"/>
          <w:szCs w:val="24"/>
        </w:rPr>
      </w:pPr>
      <w:r>
        <w:rPr>
          <w:rFonts w:hint="eastAsia" w:ascii="宋体" w:hAnsi="宋体" w:eastAsia="宋体" w:cs="宋体"/>
          <w:b/>
          <w:bCs/>
          <w:color w:val="000000"/>
          <w:sz w:val="24"/>
          <w:szCs w:val="24"/>
        </w:rPr>
        <w:t xml:space="preserve">第十四条 </w:t>
      </w:r>
      <w:r>
        <w:rPr>
          <w:rFonts w:hint="eastAsia" w:ascii="宋体" w:hAnsi="宋体" w:eastAsia="宋体" w:cs="宋体"/>
          <w:color w:val="000000"/>
          <w:sz w:val="24"/>
          <w:szCs w:val="24"/>
        </w:rPr>
        <w:t> 纵向项目实行年度执行情况报告制度，项目执行情况报告应包括项目任务完成情况、经费使用情况、科研成果情况等。项目负责人应在规定时间内向学校及教务处提交项目年度执行情况报告。</w:t>
      </w:r>
    </w:p>
    <w:p>
      <w:pPr>
        <w:spacing w:line="360" w:lineRule="auto"/>
        <w:ind w:firstLine="480"/>
        <w:jc w:val="center"/>
        <w:rPr>
          <w:rFonts w:ascii="宋体" w:hAnsi="宋体" w:eastAsia="宋体" w:cs="宋体"/>
          <w:b/>
          <w:bCs/>
          <w:color w:val="000000"/>
          <w:sz w:val="24"/>
          <w:szCs w:val="24"/>
        </w:rPr>
      </w:pPr>
    </w:p>
    <w:p>
      <w:pPr>
        <w:spacing w:line="360" w:lineRule="auto"/>
        <w:ind w:firstLine="480"/>
        <w:jc w:val="center"/>
        <w:rPr>
          <w:rFonts w:ascii="宋体" w:hAnsi="宋体" w:eastAsia="宋体" w:cs="宋体"/>
          <w:color w:val="000000"/>
          <w:sz w:val="24"/>
          <w:szCs w:val="24"/>
        </w:rPr>
      </w:pPr>
      <w:r>
        <w:rPr>
          <w:rFonts w:hint="eastAsia" w:ascii="宋体" w:hAnsi="宋体" w:eastAsia="宋体" w:cs="宋体"/>
          <w:b/>
          <w:bCs/>
          <w:color w:val="000000"/>
          <w:sz w:val="24"/>
          <w:szCs w:val="24"/>
        </w:rPr>
        <w:t>第五章  项目经费开支范围</w:t>
      </w:r>
    </w:p>
    <w:p>
      <w:pPr>
        <w:spacing w:line="360" w:lineRule="auto"/>
        <w:ind w:firstLine="48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sz w:val="24"/>
          <w:szCs w:val="24"/>
        </w:rPr>
        <w:t>第十五条</w:t>
      </w:r>
      <w:r>
        <w:rPr>
          <w:rFonts w:hint="eastAsia" w:ascii="宋体" w:hAnsi="宋体" w:eastAsia="宋体" w:cs="宋体"/>
          <w:color w:val="000000"/>
          <w:sz w:val="24"/>
          <w:szCs w:val="24"/>
        </w:rPr>
        <w:t xml:space="preserve">  经费支出实行预算管理制。项目负责人在编制经费预算时，应根据项目研究的实际需要和教务处的要求，按照政策相符性、目标相关性和经济合理性的原则，科学、合理地编制经费预算，</w:t>
      </w:r>
      <w:r>
        <w:rPr>
          <w:rFonts w:hint="eastAsia" w:ascii="宋体" w:hAnsi="宋体" w:eastAsia="宋体" w:cs="宋体"/>
          <w:color w:val="000000" w:themeColor="text1"/>
          <w:sz w:val="24"/>
          <w:szCs w:val="24"/>
          <w14:textFill>
            <w14:solidFill>
              <w14:schemeClr w14:val="tx1"/>
            </w14:solidFill>
          </w14:textFill>
        </w:rPr>
        <w:t>经学校部门和财务管理部门审核后，报教务处审批执行。</w:t>
      </w:r>
    </w:p>
    <w:p>
      <w:pPr>
        <w:spacing w:line="360" w:lineRule="auto"/>
        <w:ind w:firstLine="480"/>
        <w:rPr>
          <w:rFonts w:ascii="宋体" w:hAnsi="宋体" w:eastAsia="宋体" w:cs="宋体"/>
          <w:color w:val="000000"/>
          <w:sz w:val="24"/>
          <w:szCs w:val="24"/>
        </w:rPr>
      </w:pPr>
      <w:r>
        <w:rPr>
          <w:rFonts w:hint="eastAsia" w:ascii="宋体" w:hAnsi="宋体" w:eastAsia="宋体" w:cs="宋体"/>
          <w:b/>
          <w:bCs/>
          <w:color w:val="000000"/>
          <w:sz w:val="24"/>
          <w:szCs w:val="24"/>
        </w:rPr>
        <w:t>第十六条</w:t>
      </w:r>
      <w:r>
        <w:rPr>
          <w:rFonts w:hint="eastAsia" w:ascii="宋体" w:hAnsi="宋体" w:eastAsia="宋体" w:cs="宋体"/>
          <w:color w:val="000000"/>
          <w:sz w:val="24"/>
          <w:szCs w:val="24"/>
        </w:rPr>
        <w:t xml:space="preserve">  项目经费使用范围限于：</w:t>
      </w:r>
    </w:p>
    <w:p>
      <w:pPr>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（一）设备费：是指在项目研究过程中购置或租赁使用外单位设备而发生的费用。项目经费应严格控制设备费支出。</w:t>
      </w:r>
    </w:p>
    <w:p>
      <w:pPr>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（二）资料费：是指在项目研究过程中发生的资料收集、录入、复印、翻拍、翻译等费用，以及必要的图书和专用软件购置费等。</w:t>
      </w:r>
    </w:p>
    <w:p>
      <w:pPr>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（三）劳务费：指在项目研究过程中发生的支付给直接参与项目研究的临时聘用其他人员等的劳务性费用。</w:t>
      </w:r>
    </w:p>
    <w:p>
      <w:pPr>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（四）差旅费：是指在项目研究过程中开展科学实验（试验）、科学考察、业务调研、学术交流等所发生的外埠差旅费、市内交通费用等。</w:t>
      </w:r>
    </w:p>
    <w:p>
      <w:pPr>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（五）会议费：是指在项目研究过程中为了组织开展学术研讨、咨询、评审、鉴定以及协调项目研究工作等活动而发生的会议费用。</w:t>
      </w:r>
    </w:p>
    <w:p>
      <w:pPr>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（六）专家咨询费：是指在项目研究过程中支付给临时聘请的咨询专家的费用。</w:t>
      </w:r>
    </w:p>
    <w:p>
      <w:pPr>
        <w:spacing w:line="360" w:lineRule="auto"/>
        <w:ind w:firstLine="480"/>
        <w:rPr>
          <w:rFonts w:ascii="宋体" w:hAnsi="宋体" w:eastAsia="宋体" w:cs="宋体"/>
          <w:color w:val="000000"/>
          <w:sz w:val="24"/>
          <w:szCs w:val="24"/>
        </w:rPr>
      </w:pPr>
      <w:r>
        <w:rPr>
          <w:rFonts w:hint="eastAsia" w:ascii="宋体" w:hAnsi="宋体" w:eastAsia="宋体" w:cs="宋体"/>
          <w:color w:val="000000"/>
          <w:sz w:val="24"/>
          <w:szCs w:val="24"/>
        </w:rPr>
        <w:t>（七）数据采集费：是指在项目研究过程中发生的问卷调查、数据跟踪采集、案例分析等费用。</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（八）印刷费：是指在项目研究过程中发生的项目研究成果的打印费、印刷费和誊写费等。</w:t>
      </w:r>
    </w:p>
    <w:p>
      <w:pPr>
        <w:spacing w:line="360" w:lineRule="auto"/>
        <w:ind w:firstLine="480" w:firstLineChars="200"/>
        <w:rPr>
          <w:rFonts w:ascii="宋体" w:hAnsi="宋体" w:eastAsia="宋体" w:cs="宋体"/>
          <w:color w:val="000000"/>
          <w:sz w:val="24"/>
          <w:szCs w:val="24"/>
        </w:rPr>
      </w:pPr>
      <w:r>
        <w:rPr>
          <w:rFonts w:hint="eastAsia" w:ascii="宋体" w:hAnsi="宋体" w:eastAsia="宋体" w:cs="宋体"/>
          <w:color w:val="000000"/>
          <w:sz w:val="24"/>
          <w:szCs w:val="24"/>
        </w:rPr>
        <w:t>（九）管理费：是指在项目研究过程中项目负责人所在单位为组织和支持项目研究而支出的费用。我校管理费</w:t>
      </w:r>
      <w:r>
        <w:rPr>
          <w:rFonts w:hint="eastAsia" w:ascii="宋体" w:hAnsi="宋体" w:eastAsia="宋体" w:cs="宋体"/>
          <w:color w:val="000000"/>
          <w:sz w:val="24"/>
          <w:szCs w:val="24"/>
          <w:lang w:eastAsia="zh-CN"/>
        </w:rPr>
        <w:t>提取不超过</w:t>
      </w:r>
      <w:r>
        <w:rPr>
          <w:rFonts w:hint="eastAsia" w:ascii="宋体" w:hAnsi="宋体" w:eastAsia="宋体" w:cs="宋体"/>
          <w:color w:val="000000"/>
          <w:sz w:val="24"/>
          <w:szCs w:val="24"/>
        </w:rPr>
        <w:t>项目资助经费总额的3%</w:t>
      </w:r>
      <w:r>
        <w:rPr>
          <w:rFonts w:hint="eastAsia" w:ascii="宋体" w:hAnsi="宋体" w:eastAsia="宋体" w:cs="宋体"/>
          <w:color w:val="000000"/>
          <w:sz w:val="24"/>
          <w:szCs w:val="24"/>
          <w:lang w:eastAsia="zh-CN"/>
        </w:rPr>
        <w:t>（按项目的实际情况酌情提取）</w:t>
      </w:r>
      <w:r>
        <w:rPr>
          <w:rFonts w:hint="eastAsia" w:ascii="宋体" w:hAnsi="宋体" w:eastAsia="宋体" w:cs="宋体"/>
          <w:color w:val="000000"/>
          <w:sz w:val="24"/>
          <w:szCs w:val="24"/>
        </w:rPr>
        <w:t>，该管理费</w:t>
      </w:r>
      <w:r>
        <w:rPr>
          <w:rFonts w:hint="eastAsia" w:ascii="宋体" w:hAnsi="宋体" w:eastAsia="宋体" w:cs="宋体"/>
          <w:color w:val="000000"/>
          <w:sz w:val="24"/>
          <w:szCs w:val="24"/>
          <w:lang w:eastAsia="zh-CN"/>
        </w:rPr>
        <w:t>学校统一</w:t>
      </w:r>
      <w:r>
        <w:rPr>
          <w:rFonts w:hint="eastAsia" w:ascii="宋体" w:hAnsi="宋体" w:eastAsia="宋体" w:cs="宋体"/>
          <w:color w:val="000000"/>
          <w:sz w:val="24"/>
          <w:szCs w:val="24"/>
        </w:rPr>
        <w:t>支配。</w:t>
      </w:r>
    </w:p>
    <w:p>
      <w:pPr>
        <w:spacing w:line="360" w:lineRule="auto"/>
        <w:ind w:firstLine="480" w:firstLineChars="200"/>
        <w:rPr>
          <w:rFonts w:ascii="宋体" w:hAnsi="宋体" w:eastAsia="宋体" w:cs="宋体"/>
          <w:b/>
          <w:bCs/>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b/>
          <w:bCs/>
          <w:color w:val="000000"/>
          <w:sz w:val="24"/>
          <w:szCs w:val="24"/>
        </w:rPr>
        <w:t xml:space="preserve">  </w:t>
      </w:r>
    </w:p>
    <w:p>
      <w:pPr>
        <w:spacing w:line="360" w:lineRule="auto"/>
        <w:jc w:val="center"/>
        <w:rPr>
          <w:rFonts w:ascii="宋体" w:hAnsi="宋体" w:eastAsia="宋体" w:cs="宋体"/>
          <w:color w:val="000000"/>
          <w:sz w:val="24"/>
          <w:szCs w:val="24"/>
        </w:rPr>
      </w:pPr>
      <w:r>
        <w:rPr>
          <w:rFonts w:hint="eastAsia" w:ascii="宋体" w:hAnsi="宋体" w:eastAsia="宋体" w:cs="宋体"/>
          <w:b/>
          <w:bCs/>
          <w:color w:val="000000"/>
          <w:sz w:val="24"/>
          <w:szCs w:val="24"/>
        </w:rPr>
        <w:t>第六章 项目经费报销须知</w:t>
      </w:r>
    </w:p>
    <w:p>
      <w:pPr>
        <w:spacing w:line="360" w:lineRule="auto"/>
        <w:ind w:firstLine="482" w:firstLineChars="200"/>
        <w:rPr>
          <w:rFonts w:ascii="宋体" w:hAnsi="宋体" w:eastAsia="宋体" w:cs="宋体"/>
          <w:color w:val="000000"/>
          <w:sz w:val="24"/>
          <w:szCs w:val="24"/>
        </w:rPr>
      </w:pPr>
      <w:r>
        <w:rPr>
          <w:rFonts w:hint="eastAsia" w:ascii="宋体" w:hAnsi="宋体" w:eastAsia="宋体" w:cs="宋体"/>
          <w:b/>
          <w:bCs/>
          <w:color w:val="000000"/>
          <w:sz w:val="24"/>
          <w:szCs w:val="24"/>
        </w:rPr>
        <w:t>第十七条</w:t>
      </w:r>
      <w:r>
        <w:rPr>
          <w:rFonts w:hint="eastAsia" w:ascii="宋体" w:hAnsi="宋体" w:eastAsia="宋体" w:cs="宋体"/>
          <w:color w:val="000000"/>
          <w:sz w:val="24"/>
          <w:szCs w:val="24"/>
        </w:rPr>
        <w:t xml:space="preserve">  项目研究过程中发生转账汇款、领取支票等业务时，须由项目负责人亲自办理，由项目负责人先填写《借款申请单》，经教务处审核，方可执行。如项目负责人本人不能办理，可书面授权课题组成员代办。</w:t>
      </w:r>
    </w:p>
    <w:p>
      <w:pPr>
        <w:spacing w:line="360" w:lineRule="auto"/>
        <w:ind w:firstLine="482" w:firstLineChars="200"/>
        <w:rPr>
          <w:rFonts w:ascii="宋体" w:hAnsi="宋体" w:eastAsia="宋体" w:cs="宋体"/>
          <w:color w:val="000000"/>
          <w:sz w:val="24"/>
          <w:szCs w:val="24"/>
        </w:rPr>
      </w:pPr>
      <w:r>
        <w:rPr>
          <w:rFonts w:hint="eastAsia" w:ascii="宋体" w:hAnsi="宋体" w:eastAsia="宋体" w:cs="宋体"/>
          <w:b/>
          <w:bCs/>
          <w:color w:val="000000"/>
          <w:sz w:val="24"/>
          <w:szCs w:val="24"/>
        </w:rPr>
        <w:t>第十八条</w:t>
      </w:r>
      <w:r>
        <w:rPr>
          <w:rFonts w:hint="eastAsia" w:ascii="宋体" w:hAnsi="宋体" w:eastAsia="宋体" w:cs="宋体"/>
          <w:color w:val="000000"/>
          <w:sz w:val="24"/>
          <w:szCs w:val="24"/>
        </w:rPr>
        <w:t xml:space="preserve"> 项目经费的使用期限为立项、结题之日向前推、向后延5个月。所有经费的使用只限课题组成员。对于非课题组成员产生的费用，原则上不予报销。</w:t>
      </w:r>
    </w:p>
    <w:p>
      <w:pPr>
        <w:spacing w:line="360" w:lineRule="auto"/>
        <w:ind w:firstLine="482" w:firstLineChars="200"/>
        <w:rPr>
          <w:rFonts w:ascii="宋体" w:hAnsi="宋体" w:eastAsia="宋体" w:cs="宋体"/>
          <w:color w:val="000000"/>
          <w:sz w:val="24"/>
          <w:szCs w:val="24"/>
        </w:rPr>
      </w:pPr>
      <w:r>
        <w:rPr>
          <w:rFonts w:hint="eastAsia" w:ascii="宋体" w:hAnsi="宋体" w:eastAsia="宋体" w:cs="宋体"/>
          <w:b/>
          <w:bCs/>
          <w:color w:val="000000"/>
          <w:sz w:val="24"/>
          <w:szCs w:val="24"/>
        </w:rPr>
        <w:t xml:space="preserve">第十九条 </w:t>
      </w:r>
      <w:r>
        <w:rPr>
          <w:rFonts w:hint="eastAsia" w:ascii="宋体" w:hAnsi="宋体" w:eastAsia="宋体" w:cs="宋体"/>
          <w:color w:val="000000"/>
          <w:sz w:val="24"/>
          <w:szCs w:val="24"/>
        </w:rPr>
        <w:t xml:space="preserve"> 项目研究过程中的发票背面必须有项目负责人签字，并附明细单。</w:t>
      </w:r>
    </w:p>
    <w:p>
      <w:pPr>
        <w:spacing w:line="360" w:lineRule="auto"/>
        <w:ind w:firstLine="482" w:firstLineChars="200"/>
        <w:rPr>
          <w:rFonts w:ascii="宋体" w:hAnsi="宋体" w:eastAsia="宋体" w:cs="宋体"/>
          <w:color w:val="000000"/>
          <w:sz w:val="24"/>
          <w:szCs w:val="24"/>
        </w:rPr>
      </w:pPr>
      <w:r>
        <w:rPr>
          <w:rFonts w:hint="eastAsia" w:ascii="宋体" w:hAnsi="宋体" w:eastAsia="宋体" w:cs="宋体"/>
          <w:b/>
          <w:bCs/>
          <w:color w:val="000000"/>
          <w:sz w:val="24"/>
          <w:szCs w:val="24"/>
        </w:rPr>
        <w:t>第二十条</w:t>
      </w:r>
      <w:r>
        <w:rPr>
          <w:rFonts w:hint="eastAsia" w:ascii="宋体" w:hAnsi="宋体" w:eastAsia="宋体" w:cs="宋体"/>
          <w:color w:val="000000"/>
          <w:sz w:val="24"/>
          <w:szCs w:val="24"/>
        </w:rPr>
        <w:t xml:space="preserve"> 项目负责人对报销票据的合法性、真实性负责，凡弄虚作假者，一经查实，按相关规定处理。</w:t>
      </w:r>
    </w:p>
    <w:p>
      <w:pPr>
        <w:spacing w:line="360" w:lineRule="auto"/>
        <w:ind w:firstLine="480" w:firstLineChars="200"/>
        <w:rPr>
          <w:rFonts w:ascii="宋体" w:hAnsi="宋体" w:eastAsia="宋体" w:cs="宋体"/>
          <w:color w:val="000000"/>
          <w:sz w:val="24"/>
          <w:szCs w:val="24"/>
        </w:rPr>
      </w:pPr>
    </w:p>
    <w:p>
      <w:pPr>
        <w:spacing w:line="360" w:lineRule="auto"/>
        <w:jc w:val="center"/>
        <w:rPr>
          <w:rFonts w:ascii="宋体" w:hAnsi="宋体" w:eastAsia="宋体" w:cs="宋体"/>
          <w:b/>
          <w:bCs/>
          <w:color w:val="000000"/>
          <w:sz w:val="24"/>
          <w:szCs w:val="24"/>
        </w:rPr>
      </w:pPr>
      <w:r>
        <w:rPr>
          <w:rFonts w:hint="eastAsia" w:ascii="宋体" w:hAnsi="宋体" w:eastAsia="宋体" w:cs="宋体"/>
          <w:b/>
          <w:bCs/>
          <w:color w:val="000000"/>
          <w:sz w:val="24"/>
          <w:szCs w:val="24"/>
        </w:rPr>
        <w:t>第七章  项目结题管理</w:t>
      </w:r>
    </w:p>
    <w:p>
      <w:pPr>
        <w:spacing w:line="360" w:lineRule="auto"/>
        <w:ind w:firstLine="480"/>
        <w:rPr>
          <w:sz w:val="24"/>
          <w:szCs w:val="24"/>
        </w:rPr>
      </w:pPr>
      <w:r>
        <w:rPr>
          <w:rFonts w:hint="eastAsia"/>
          <w:b/>
          <w:bCs/>
          <w:sz w:val="24"/>
          <w:szCs w:val="24"/>
        </w:rPr>
        <w:t>第二十一条</w:t>
      </w:r>
      <w:r>
        <w:rPr>
          <w:rFonts w:hint="eastAsia"/>
          <w:sz w:val="24"/>
          <w:szCs w:val="24"/>
        </w:rPr>
        <w:t xml:space="preserve">  各部门及项目组应积极配合教务处组织的项目验收结题工作，项目验收结题流程参照相关主管部门的具体规定执行。</w:t>
      </w:r>
    </w:p>
    <w:p>
      <w:pPr>
        <w:spacing w:line="360" w:lineRule="auto"/>
        <w:ind w:firstLine="482" w:firstLineChars="200"/>
        <w:rPr>
          <w:sz w:val="24"/>
          <w:szCs w:val="24"/>
        </w:rPr>
      </w:pPr>
      <w:r>
        <w:rPr>
          <w:rFonts w:hint="eastAsia"/>
          <w:b/>
          <w:bCs/>
          <w:sz w:val="24"/>
          <w:szCs w:val="24"/>
        </w:rPr>
        <w:t>第二十二条</w:t>
      </w:r>
      <w:r>
        <w:rPr>
          <w:rFonts w:hint="eastAsia"/>
          <w:sz w:val="24"/>
          <w:szCs w:val="24"/>
        </w:rPr>
        <w:t>   项目研究所取得的科研成果(包括论文、专著、专利、软件等)，其知识产权归学校所有；项目合同中另有约定者，按合同约定执行。</w:t>
      </w:r>
    </w:p>
    <w:p>
      <w:pPr>
        <w:spacing w:line="360" w:lineRule="auto"/>
        <w:ind w:firstLine="480"/>
        <w:rPr>
          <w:sz w:val="24"/>
          <w:szCs w:val="24"/>
        </w:rPr>
      </w:pPr>
      <w:r>
        <w:rPr>
          <w:rFonts w:hint="eastAsia"/>
          <w:b/>
          <w:bCs/>
          <w:sz w:val="24"/>
          <w:szCs w:val="24"/>
        </w:rPr>
        <w:t>第二十三条  </w:t>
      </w:r>
      <w:r>
        <w:rPr>
          <w:rFonts w:hint="eastAsia"/>
          <w:sz w:val="24"/>
          <w:szCs w:val="24"/>
        </w:rPr>
        <w:t xml:space="preserve"> 经相关部门审定需要保密的项目成果，按照国家有关保密要求执行；非涉密成果通过评议或鉴定后应向社会公开，注重知识产权保护，使科研成果尽快转化应用，产生社会经济效益。</w:t>
      </w:r>
    </w:p>
    <w:p>
      <w:pPr>
        <w:spacing w:line="360" w:lineRule="auto"/>
        <w:ind w:firstLine="480"/>
        <w:rPr>
          <w:sz w:val="24"/>
          <w:szCs w:val="24"/>
        </w:rPr>
      </w:pPr>
      <w:r>
        <w:rPr>
          <w:rFonts w:hint="eastAsia"/>
          <w:b/>
          <w:bCs/>
          <w:sz w:val="24"/>
          <w:szCs w:val="24"/>
        </w:rPr>
        <w:t>第二十四条</w:t>
      </w:r>
      <w:r>
        <w:rPr>
          <w:rFonts w:hint="eastAsia"/>
          <w:sz w:val="24"/>
          <w:szCs w:val="24"/>
        </w:rPr>
        <w:t>   教务处在项目结项后负责将科研档案整理归档。</w:t>
      </w:r>
    </w:p>
    <w:p>
      <w:pPr>
        <w:spacing w:line="360" w:lineRule="auto"/>
        <w:ind w:firstLine="2891" w:firstLineChars="1200"/>
        <w:rPr>
          <w:b/>
          <w:bCs/>
          <w:sz w:val="24"/>
          <w:szCs w:val="24"/>
        </w:rPr>
      </w:pPr>
    </w:p>
    <w:p>
      <w:pPr>
        <w:spacing w:line="360" w:lineRule="auto"/>
        <w:ind w:firstLine="2891" w:firstLineChars="1200"/>
        <w:rPr>
          <w:b/>
          <w:bCs/>
          <w:sz w:val="24"/>
          <w:szCs w:val="24"/>
        </w:rPr>
      </w:pPr>
      <w:r>
        <w:rPr>
          <w:rFonts w:hint="eastAsia"/>
          <w:b/>
          <w:bCs/>
          <w:sz w:val="24"/>
          <w:szCs w:val="24"/>
        </w:rPr>
        <w:t>第八章     附  则</w:t>
      </w:r>
    </w:p>
    <w:p>
      <w:pPr>
        <w:spacing w:line="360" w:lineRule="auto"/>
        <w:ind w:firstLine="480"/>
        <w:rPr>
          <w:sz w:val="24"/>
          <w:szCs w:val="24"/>
        </w:rPr>
      </w:pPr>
      <w:r>
        <w:rPr>
          <w:rFonts w:hint="eastAsia"/>
          <w:b/>
          <w:bCs/>
          <w:sz w:val="24"/>
          <w:szCs w:val="24"/>
        </w:rPr>
        <w:t>第二十五条 </w:t>
      </w:r>
      <w:r>
        <w:rPr>
          <w:rFonts w:hint="eastAsia"/>
          <w:sz w:val="24"/>
          <w:szCs w:val="24"/>
        </w:rPr>
        <w:t>  凡是我校承担的科研项目，必须经教务处登记备案，方可作为科研考核、评奖评优以及职称、职务晋升等项工作的有效依据。</w:t>
      </w:r>
    </w:p>
    <w:p>
      <w:pPr>
        <w:spacing w:line="360" w:lineRule="auto"/>
        <w:ind w:firstLine="480"/>
        <w:rPr>
          <w:sz w:val="24"/>
          <w:szCs w:val="24"/>
        </w:rPr>
      </w:pPr>
      <w:r>
        <w:rPr>
          <w:rFonts w:hint="eastAsia"/>
          <w:b/>
          <w:bCs/>
          <w:sz w:val="24"/>
          <w:szCs w:val="24"/>
        </w:rPr>
        <w:t>第二十六条</w:t>
      </w:r>
      <w:r>
        <w:rPr>
          <w:rFonts w:hint="eastAsia"/>
          <w:sz w:val="24"/>
          <w:szCs w:val="24"/>
        </w:rPr>
        <w:t>  本管理办法自2018年</w:t>
      </w:r>
      <w:r>
        <w:rPr>
          <w:rFonts w:hint="eastAsia"/>
          <w:sz w:val="24"/>
          <w:szCs w:val="24"/>
          <w:lang w:val="en-US" w:eastAsia="zh-CN"/>
        </w:rPr>
        <w:t>11</w:t>
      </w:r>
      <w:r>
        <w:rPr>
          <w:rFonts w:hint="eastAsia"/>
          <w:sz w:val="24"/>
          <w:szCs w:val="24"/>
        </w:rPr>
        <w:t>月</w:t>
      </w:r>
      <w:r>
        <w:rPr>
          <w:rFonts w:hint="eastAsia"/>
          <w:sz w:val="24"/>
          <w:szCs w:val="24"/>
          <w:lang w:val="en-US" w:eastAsia="zh-CN"/>
        </w:rPr>
        <w:t>7</w:t>
      </w:r>
      <w:r>
        <w:rPr>
          <w:rFonts w:hint="eastAsia"/>
          <w:sz w:val="24"/>
          <w:szCs w:val="24"/>
        </w:rPr>
        <w:t>日起施行，原管理办法废止，具体由教务处负责解释。</w:t>
      </w:r>
    </w:p>
    <w:p>
      <w:pPr>
        <w:spacing w:line="360" w:lineRule="auto"/>
        <w:rPr>
          <w:sz w:val="24"/>
          <w:szCs w:val="24"/>
        </w:rPr>
      </w:pPr>
    </w:p>
    <w:p>
      <w:pPr>
        <w:rPr>
          <w:rFonts w:asciiTheme="minorHAnsi" w:hAnsiTheme="minorHAnsi" w:eastAsiaTheme="minorEastAsia" w:cstheme="minorBidi"/>
          <w:kern w:val="2"/>
          <w:sz w:val="24"/>
          <w:szCs w:val="24"/>
          <w:lang w:val="en-US" w:eastAsia="zh-CN" w:bidi="ar-SA"/>
        </w:rPr>
      </w:pPr>
    </w:p>
    <w:p>
      <w:pPr>
        <w:rPr>
          <w:rFonts w:asciiTheme="minorHAnsi" w:hAnsiTheme="minorHAnsi" w:eastAsiaTheme="minorEastAsia" w:cstheme="minorBidi"/>
          <w:kern w:val="2"/>
          <w:sz w:val="24"/>
          <w:szCs w:val="24"/>
          <w:lang w:val="en-US" w:eastAsia="zh-CN" w:bidi="ar-SA"/>
        </w:rPr>
      </w:pPr>
    </w:p>
    <w:p>
      <w:pPr>
        <w:rPr>
          <w:rFonts w:asciiTheme="minorHAnsi" w:hAnsiTheme="minorHAnsi" w:eastAsiaTheme="minorEastAsia" w:cstheme="minorBidi"/>
          <w:kern w:val="2"/>
          <w:sz w:val="24"/>
          <w:szCs w:val="24"/>
          <w:lang w:val="en-US" w:eastAsia="zh-CN" w:bidi="ar-SA"/>
        </w:rPr>
      </w:pPr>
    </w:p>
    <w:p>
      <w:pPr>
        <w:rPr>
          <w:rFonts w:asciiTheme="minorHAnsi" w:hAnsiTheme="minorHAnsi" w:eastAsiaTheme="minorEastAsia" w:cstheme="minorBidi"/>
          <w:kern w:val="2"/>
          <w:sz w:val="24"/>
          <w:szCs w:val="24"/>
          <w:lang w:val="en-US" w:eastAsia="zh-CN" w:bidi="ar-SA"/>
        </w:rPr>
      </w:pPr>
    </w:p>
    <w:p>
      <w:pPr>
        <w:rPr>
          <w:rFonts w:asciiTheme="minorHAnsi" w:hAnsiTheme="minorHAnsi" w:eastAsiaTheme="minorEastAsia" w:cstheme="minorBidi"/>
          <w:kern w:val="2"/>
          <w:sz w:val="24"/>
          <w:szCs w:val="24"/>
          <w:lang w:val="en-US" w:eastAsia="zh-CN" w:bidi="ar-SA"/>
        </w:rPr>
      </w:pPr>
    </w:p>
    <w:p>
      <w:pPr>
        <w:rPr>
          <w:rFonts w:asciiTheme="minorHAnsi" w:hAnsiTheme="minorHAnsi" w:eastAsiaTheme="minorEastAsia" w:cstheme="minorBidi"/>
          <w:kern w:val="2"/>
          <w:sz w:val="24"/>
          <w:szCs w:val="24"/>
          <w:lang w:val="en-US" w:eastAsia="zh-CN" w:bidi="ar-SA"/>
        </w:rPr>
      </w:pPr>
    </w:p>
    <w:p>
      <w:pPr>
        <w:spacing w:line="580" w:lineRule="exac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Consolas">
    <w:panose1 w:val="020B0609020204030204"/>
    <w:charset w:val="00"/>
    <w:family w:val="modern"/>
    <w:pitch w:val="default"/>
    <w:sig w:usb0="A00002EF" w:usb1="4000204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Adobe 仿宋 Std R">
    <w:altName w:val="仿宋_GB2312"/>
    <w:panose1 w:val="00000000000000000000"/>
    <w:charset w:val="86"/>
    <w:family w:val="roman"/>
    <w:pitch w:val="default"/>
    <w:sig w:usb0="00000000" w:usb1="00000000" w:usb2="00000016" w:usb3="00000000" w:csb0="00060007" w:csb1="00000000"/>
  </w:font>
  <w:font w:name="PMingLiU">
    <w:panose1 w:val="02020300000000000000"/>
    <w:charset w:val="88"/>
    <w:family w:val="roman"/>
    <w:pitch w:val="default"/>
    <w:sig w:usb0="00000003" w:usb1="082E0000" w:usb2="00000016" w:usb3="00000000" w:csb0="0010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653748"/>
    <w:rsid w:val="00826E10"/>
    <w:rsid w:val="0089425E"/>
    <w:rsid w:val="009C7A23"/>
    <w:rsid w:val="00D2112D"/>
    <w:rsid w:val="00EB2A9F"/>
    <w:rsid w:val="00EC2407"/>
    <w:rsid w:val="01006F74"/>
    <w:rsid w:val="052D475A"/>
    <w:rsid w:val="064377C5"/>
    <w:rsid w:val="0B2B257E"/>
    <w:rsid w:val="0BC22122"/>
    <w:rsid w:val="0C4A6A28"/>
    <w:rsid w:val="0D805C0F"/>
    <w:rsid w:val="0F235BDB"/>
    <w:rsid w:val="10B52117"/>
    <w:rsid w:val="11153566"/>
    <w:rsid w:val="12344682"/>
    <w:rsid w:val="12EF6002"/>
    <w:rsid w:val="13465658"/>
    <w:rsid w:val="13CA1758"/>
    <w:rsid w:val="14E53006"/>
    <w:rsid w:val="15D01A5D"/>
    <w:rsid w:val="166847C8"/>
    <w:rsid w:val="17716F88"/>
    <w:rsid w:val="19EB34DA"/>
    <w:rsid w:val="1D154DC9"/>
    <w:rsid w:val="1E4D098C"/>
    <w:rsid w:val="20BE2354"/>
    <w:rsid w:val="23BF02D3"/>
    <w:rsid w:val="26893359"/>
    <w:rsid w:val="26BD0B24"/>
    <w:rsid w:val="26E74479"/>
    <w:rsid w:val="281C3E6B"/>
    <w:rsid w:val="297E4E37"/>
    <w:rsid w:val="29C6335B"/>
    <w:rsid w:val="2A7C096C"/>
    <w:rsid w:val="30D20C09"/>
    <w:rsid w:val="33997EFC"/>
    <w:rsid w:val="35241343"/>
    <w:rsid w:val="36540433"/>
    <w:rsid w:val="37C45817"/>
    <w:rsid w:val="3AAE7FF8"/>
    <w:rsid w:val="3AFD3559"/>
    <w:rsid w:val="3C0A5600"/>
    <w:rsid w:val="3C4B5DD3"/>
    <w:rsid w:val="466202A0"/>
    <w:rsid w:val="46D05CB7"/>
    <w:rsid w:val="49CE6C42"/>
    <w:rsid w:val="49CF5F6C"/>
    <w:rsid w:val="4B6634D8"/>
    <w:rsid w:val="4C16586F"/>
    <w:rsid w:val="4F847052"/>
    <w:rsid w:val="523E6EC4"/>
    <w:rsid w:val="5A66086F"/>
    <w:rsid w:val="5E2F09F9"/>
    <w:rsid w:val="5F886442"/>
    <w:rsid w:val="63E85074"/>
    <w:rsid w:val="64454CD9"/>
    <w:rsid w:val="66A90E6D"/>
    <w:rsid w:val="67CB43F1"/>
    <w:rsid w:val="715B620F"/>
    <w:rsid w:val="723D0E11"/>
    <w:rsid w:val="7579494E"/>
    <w:rsid w:val="790D2216"/>
    <w:rsid w:val="7DBD028D"/>
    <w:rsid w:val="7DC61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8"/>
      <w:lang w:val="en-US" w:eastAsia="zh-CN" w:bidi="ar-SA"/>
    </w:rPr>
  </w:style>
  <w:style w:type="character" w:default="1" w:styleId="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eastAsia="微软雅黑"/>
      <w:color w:val="00B0F0"/>
      <w:sz w:val="36"/>
      <w:szCs w:val="24"/>
    </w:rPr>
  </w:style>
  <w:style w:type="paragraph" w:styleId="3">
    <w:name w:val="footer"/>
    <w:basedOn w:val="1"/>
    <w:link w:val="21"/>
    <w:qFormat/>
    <w:uiPriority w:val="0"/>
    <w:pPr>
      <w:tabs>
        <w:tab w:val="center" w:pos="4153"/>
        <w:tab w:val="right" w:pos="8306"/>
      </w:tabs>
      <w:snapToGrid w:val="0"/>
      <w:jc w:val="left"/>
    </w:pPr>
    <w:rPr>
      <w:sz w:val="18"/>
      <w:szCs w:val="18"/>
    </w:rPr>
  </w:style>
  <w:style w:type="paragraph" w:styleId="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after="300"/>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020202"/>
      <w:u w:val="none"/>
    </w:rPr>
  </w:style>
  <w:style w:type="character" w:styleId="9">
    <w:name w:val="HTML Definition"/>
    <w:basedOn w:val="6"/>
    <w:qFormat/>
    <w:uiPriority w:val="0"/>
    <w:rPr>
      <w:i/>
      <w:shd w:val="clear" w:color="auto" w:fill="F5F5F5"/>
    </w:rPr>
  </w:style>
  <w:style w:type="character" w:styleId="10">
    <w:name w:val="Hyperlink"/>
    <w:basedOn w:val="6"/>
    <w:qFormat/>
    <w:uiPriority w:val="0"/>
    <w:rPr>
      <w:color w:val="020202"/>
      <w:u w:val="none"/>
    </w:rPr>
  </w:style>
  <w:style w:type="character" w:styleId="11">
    <w:name w:val="HTML Code"/>
    <w:basedOn w:val="6"/>
    <w:qFormat/>
    <w:uiPriority w:val="0"/>
    <w:rPr>
      <w:rFonts w:hint="default" w:ascii="Consolas" w:hAnsi="Consolas" w:eastAsia="Consolas" w:cs="Consolas"/>
      <w:color w:val="C7254E"/>
      <w:sz w:val="21"/>
      <w:szCs w:val="21"/>
      <w:shd w:val="clear" w:color="auto" w:fill="F9F2F4"/>
    </w:rPr>
  </w:style>
  <w:style w:type="character" w:styleId="12">
    <w:name w:val="HTML Keyboard"/>
    <w:basedOn w:val="6"/>
    <w:qFormat/>
    <w:uiPriority w:val="0"/>
    <w:rPr>
      <w:rFonts w:ascii="Consolas" w:hAnsi="Consolas" w:eastAsia="Consolas" w:cs="Consolas"/>
      <w:color w:val="FFFFFF"/>
      <w:sz w:val="21"/>
      <w:szCs w:val="21"/>
      <w:shd w:val="clear" w:color="auto"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5">
    <w:name w:val="share"/>
    <w:basedOn w:val="6"/>
    <w:qFormat/>
    <w:uiPriority w:val="0"/>
    <w:rPr>
      <w:b/>
      <w:sz w:val="21"/>
      <w:szCs w:val="21"/>
    </w:rPr>
  </w:style>
  <w:style w:type="character" w:customStyle="1" w:styleId="16">
    <w:name w:val="clear2"/>
    <w:basedOn w:val="6"/>
    <w:qFormat/>
    <w:uiPriority w:val="0"/>
    <w:rPr>
      <w:sz w:val="0"/>
      <w:szCs w:val="0"/>
    </w:rPr>
  </w:style>
  <w:style w:type="character" w:customStyle="1" w:styleId="17">
    <w:name w:val="pass"/>
    <w:basedOn w:val="6"/>
    <w:qFormat/>
    <w:uiPriority w:val="0"/>
    <w:rPr>
      <w:color w:val="D50512"/>
    </w:rPr>
  </w:style>
  <w:style w:type="paragraph" w:customStyle="1" w:styleId="18">
    <w:name w:val="_Style 15"/>
    <w:basedOn w:val="1"/>
    <w:next w:val="1"/>
    <w:qFormat/>
    <w:uiPriority w:val="0"/>
    <w:pPr>
      <w:pBdr>
        <w:bottom w:val="single" w:color="auto" w:sz="6" w:space="1"/>
      </w:pBdr>
      <w:jc w:val="center"/>
    </w:pPr>
    <w:rPr>
      <w:rFonts w:ascii="Arial" w:eastAsia="宋体"/>
      <w:vanish/>
      <w:sz w:val="16"/>
    </w:rPr>
  </w:style>
  <w:style w:type="paragraph" w:customStyle="1" w:styleId="19">
    <w:name w:val="_Style 16"/>
    <w:basedOn w:val="1"/>
    <w:next w:val="1"/>
    <w:qFormat/>
    <w:uiPriority w:val="0"/>
    <w:pPr>
      <w:pBdr>
        <w:top w:val="single" w:color="auto" w:sz="6" w:space="1"/>
      </w:pBdr>
      <w:jc w:val="center"/>
    </w:pPr>
    <w:rPr>
      <w:rFonts w:ascii="Arial" w:eastAsia="宋体"/>
      <w:vanish/>
      <w:sz w:val="16"/>
    </w:rPr>
  </w:style>
  <w:style w:type="character" w:customStyle="1" w:styleId="20">
    <w:name w:val="页眉 Char"/>
    <w:basedOn w:val="6"/>
    <w:link w:val="4"/>
    <w:qFormat/>
    <w:uiPriority w:val="0"/>
    <w:rPr>
      <w:rFonts w:asciiTheme="minorHAnsi" w:hAnsiTheme="minorHAnsi" w:eastAsiaTheme="minorEastAsia" w:cstheme="minorBidi"/>
      <w:kern w:val="2"/>
      <w:sz w:val="18"/>
      <w:szCs w:val="18"/>
    </w:rPr>
  </w:style>
  <w:style w:type="character" w:customStyle="1" w:styleId="21">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400</Words>
  <Characters>2282</Characters>
  <Lines>19</Lines>
  <Paragraphs>5</Paragraphs>
  <TotalTime>10</TotalTime>
  <ScaleCrop>false</ScaleCrop>
  <LinksUpToDate>false</LinksUpToDate>
  <CharactersWithSpaces>2677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2018-11-08T06:40:12Z</cp:lastPrinted>
  <dcterms:modified xsi:type="dcterms:W3CDTF">2018-11-08T06:42:28Z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